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CC" w:rsidRDefault="002613CC" w:rsidP="001D37F9">
      <w:pPr>
        <w:pStyle w:val="1"/>
        <w:ind w:firstLine="723"/>
        <w:jc w:val="center"/>
        <w:rPr>
          <w:rFonts w:hint="eastAsia"/>
        </w:rPr>
      </w:pPr>
      <w:r>
        <w:rPr>
          <w:rFonts w:hint="eastAsia"/>
        </w:rPr>
        <w:t>汕头职业技术学院危险化学品安全管理规定（试行）</w:t>
      </w:r>
    </w:p>
    <w:p w:rsidR="002613CC" w:rsidRDefault="002613CC" w:rsidP="001D37F9">
      <w:pPr>
        <w:pStyle w:val="A10"/>
        <w:spacing w:before="93" w:after="93"/>
        <w:ind w:firstLine="562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为加强对危险化学品的安全管理，保证教学竞赛科研顺利进行，保障师生员工的人身、财产安全和环境卫生，认真贯彻执行国务院颁布的《危险化学品安全管理条例》《易制毒化学</w:t>
      </w:r>
      <w:bookmarkStart w:id="0" w:name="_GoBack"/>
      <w:bookmarkEnd w:id="0"/>
      <w:r>
        <w:rPr>
          <w:rFonts w:hint="eastAsia"/>
        </w:rPr>
        <w:t>品管理条例》和《教育部关于加强高校实验室安全工作的意见》（</w:t>
      </w:r>
      <w:proofErr w:type="gramStart"/>
      <w:r>
        <w:rPr>
          <w:rFonts w:hint="eastAsia"/>
        </w:rPr>
        <w:t>教技函</w:t>
      </w:r>
      <w:proofErr w:type="gramEnd"/>
      <w:r>
        <w:rPr>
          <w:rFonts w:hint="eastAsia"/>
        </w:rPr>
        <w:t>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 xml:space="preserve">36 </w:t>
      </w:r>
      <w:r>
        <w:rPr>
          <w:rFonts w:hint="eastAsia"/>
        </w:rPr>
        <w:t>号），《广东省教育厅关于高等学校实验室安全建设与管理规定（修订）》（粤教装备函〔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5</w:t>
      </w:r>
      <w:r>
        <w:rPr>
          <w:rFonts w:hint="eastAsia"/>
        </w:rPr>
        <w:t>号）等文件精神，结合我校的实际情况，特制定本规定。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危险化学品指国家标准《危险货物分类与品名编号</w:t>
      </w:r>
      <w:r>
        <w:rPr>
          <w:rFonts w:hint="eastAsia"/>
        </w:rPr>
        <w:t>GB6944-2012</w:t>
      </w:r>
      <w:r>
        <w:rPr>
          <w:rFonts w:hint="eastAsia"/>
        </w:rPr>
        <w:t>》《常用危险化学品的分类及标志</w:t>
      </w:r>
      <w:r>
        <w:rPr>
          <w:rFonts w:hint="eastAsia"/>
        </w:rPr>
        <w:t>GB13690-2016</w:t>
      </w:r>
      <w:r>
        <w:rPr>
          <w:rFonts w:hint="eastAsia"/>
        </w:rPr>
        <w:t>》规定的分类标准中的爆炸品、压缩气体和液化气体、易燃液体、易燃固体、自燃物品和遇湿易燃物品、氧化剂和过氧化物、毒害品和腐蚀品等九大类，详见表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>表</w:t>
      </w:r>
      <w:r>
        <w:rPr>
          <w:rFonts w:hint="eastAsia"/>
        </w:rPr>
        <w:t>1.</w:t>
      </w:r>
      <w:r>
        <w:rPr>
          <w:rFonts w:hint="eastAsia"/>
        </w:rPr>
        <w:t>危险化学品分类表</w:t>
      </w:r>
    </w:p>
    <w:tbl>
      <w:tblPr>
        <w:tblW w:w="9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873"/>
        <w:gridCol w:w="3846"/>
      </w:tblGrid>
      <w:tr w:rsidR="002613CC" w:rsidTr="00C86D1B">
        <w:trPr>
          <w:trHeight w:val="397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分类序号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pStyle w:val="a5"/>
              <w:ind w:firstLine="420"/>
              <w:jc w:val="center"/>
            </w:pPr>
            <w:r>
              <w:rPr>
                <w:rFonts w:hint="eastAsia"/>
              </w:rPr>
              <w:t>GB6944-2012</w:t>
            </w:r>
            <w:r>
              <w:rPr>
                <w:rFonts w:hint="eastAsia"/>
              </w:rPr>
              <w:t>分类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GB13690-2016</w:t>
            </w:r>
            <w:r>
              <w:rPr>
                <w:rFonts w:hint="eastAsia"/>
              </w:rPr>
              <w:t>分类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爆炸品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爆炸品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压缩气体和液化气体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压缩气体和液化气体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易燃液体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易燃液体</w:t>
            </w:r>
          </w:p>
        </w:tc>
      </w:tr>
      <w:tr w:rsidR="002613CC" w:rsidTr="00C86D1B">
        <w:trPr>
          <w:trHeight w:val="5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易燃固体自燃物品和遇湿易燃物品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易燃固体自燃物品和遇湿易燃物品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氧化剂和有机过氧化物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氧化剂和有机过氧化物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毒害品和感染性物品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有毒品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放射性物品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放射性物品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腐蚀品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腐蚀品</w:t>
            </w:r>
          </w:p>
        </w:tc>
      </w:tr>
      <w:tr w:rsidR="002613CC" w:rsidTr="00C86D1B">
        <w:trPr>
          <w:trHeight w:val="39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类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杂类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CC" w:rsidRDefault="002613CC" w:rsidP="001D37F9">
            <w:pPr>
              <w:ind w:firstLine="420"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2613CC" w:rsidRDefault="002613CC" w:rsidP="001D37F9">
      <w:pPr>
        <w:ind w:firstLine="420"/>
        <w:jc w:val="center"/>
      </w:pP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第三条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储存、运输和使用危险化学品的有关系部，必须建立健全危险化学品的安全操作、使用、运输和储存的实施细则，切实贯彻执行并定期进行检查和监督。</w:t>
      </w:r>
    </w:p>
    <w:p w:rsidR="002613CC" w:rsidRDefault="002613CC" w:rsidP="001D37F9">
      <w:pPr>
        <w:pStyle w:val="A10"/>
        <w:spacing w:before="93" w:after="93"/>
        <w:ind w:firstLine="562"/>
      </w:pPr>
    </w:p>
    <w:p w:rsidR="002613CC" w:rsidRDefault="002613CC" w:rsidP="001D37F9">
      <w:pPr>
        <w:pStyle w:val="A10"/>
        <w:spacing w:before="93" w:after="93"/>
        <w:ind w:firstLine="562"/>
      </w:pPr>
    </w:p>
    <w:p w:rsidR="002613CC" w:rsidRDefault="002613CC" w:rsidP="001D37F9">
      <w:pPr>
        <w:pStyle w:val="A10"/>
        <w:spacing w:before="93" w:after="93"/>
        <w:ind w:firstLine="562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采购与管理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严格危险化学品的采购计划管理。各部门采购危险化学品，必须根据实际需要，由</w:t>
      </w:r>
      <w:proofErr w:type="gramStart"/>
      <w:r>
        <w:rPr>
          <w:rFonts w:hint="eastAsia"/>
        </w:rPr>
        <w:t>相关学系专业</w:t>
      </w:r>
      <w:proofErr w:type="gramEnd"/>
      <w:r>
        <w:rPr>
          <w:rFonts w:hint="eastAsia"/>
        </w:rPr>
        <w:t>提出采购计划，经实验室负责人、部门负责人、实验室管理部门负责人审批后，</w:t>
      </w:r>
      <w:proofErr w:type="gramStart"/>
      <w:r>
        <w:rPr>
          <w:rFonts w:hint="eastAsia"/>
        </w:rPr>
        <w:t>按危险</w:t>
      </w:r>
      <w:proofErr w:type="gramEnd"/>
      <w:r>
        <w:rPr>
          <w:rFonts w:hint="eastAsia"/>
        </w:rPr>
        <w:t>化学品采购要求统一采购。危险化学品必须严格按计划、由专人负责采购，计划不得任意改动，更改采购计划要重新办理审批手续。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科研项目所需的危险化学品采购按照学院科研管理相关规定执行，一并纳入</w:t>
      </w:r>
      <w:proofErr w:type="gramStart"/>
      <w:r>
        <w:rPr>
          <w:rFonts w:hint="eastAsia"/>
        </w:rPr>
        <w:t>相关学</w:t>
      </w:r>
      <w:proofErr w:type="gramEnd"/>
      <w:r>
        <w:rPr>
          <w:rFonts w:hint="eastAsia"/>
        </w:rPr>
        <w:t>系的危险化学品管理。</w:t>
      </w:r>
    </w:p>
    <w:p w:rsidR="002613CC" w:rsidRDefault="002613CC" w:rsidP="001D37F9">
      <w:pPr>
        <w:pStyle w:val="A10"/>
        <w:spacing w:before="93" w:after="93"/>
        <w:ind w:firstLine="562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入库与领用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危险化学品入库，保管员必须按计划严格检查验收，及时登记建账。危险化学品仓库必须配备两把门锁，“双人双锁”由保管员和监护人分别掌管钥匙。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严格危险化学品的领用出库手续。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 xml:space="preserve">1. </w:t>
      </w:r>
      <w:r>
        <w:rPr>
          <w:rFonts w:hint="eastAsia"/>
        </w:rPr>
        <w:t>领取危险化学品时，属于正常教学计划内的实验教学的，凭实验通知单，按规定时间</w:t>
      </w:r>
      <w:proofErr w:type="gramStart"/>
      <w:r>
        <w:rPr>
          <w:rFonts w:hint="eastAsia"/>
        </w:rPr>
        <w:t>找相关</w:t>
      </w:r>
      <w:proofErr w:type="gramEnd"/>
      <w:r>
        <w:rPr>
          <w:rFonts w:hint="eastAsia"/>
        </w:rPr>
        <w:t>管理老师领取所需的实验用药品并登记，领用时看清楚药品危害标示和图样并采取相应措施，药品使用的安全问题由指导老师负责。待实验结束，领出的危险品若未使用完，应及时送回药品库存放。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 xml:space="preserve">2. </w:t>
      </w:r>
      <w:r>
        <w:rPr>
          <w:rFonts w:hint="eastAsia"/>
        </w:rPr>
        <w:t>竞赛或科研实验若需领用，需提前填写《汕头职业技术学院危险化学品领用申请表》并提交实验室主任、学系领导、学院实验室管理部门审批，由相关老师领取，妥善保管及合理使用，负相关安全责任。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>领用必须有专人负责。仓库应建立领用登记制度，领用危险化学品时，必须有领用人、保管员和监护人同时在场，并在领用登记簿上签字。</w:t>
      </w:r>
    </w:p>
    <w:p w:rsidR="002613CC" w:rsidRDefault="002613CC" w:rsidP="001D37F9">
      <w:pPr>
        <w:pStyle w:val="A10"/>
        <w:spacing w:before="93" w:after="93"/>
        <w:ind w:firstLine="562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储存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危险化学品必须储存在专用的仓库、场地或专用的储存室（柜）内。专用仓库、场地应当符合有关安全、防火规定，并根据物品的种类、性质，设置相应的通风、防爆、防火、防雷、防晒、消除静电、报警等安全设施，并有专人进行管理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储存危险化学品应符合下列要求：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 xml:space="preserve">1. </w:t>
      </w:r>
      <w:r>
        <w:rPr>
          <w:rFonts w:hint="eastAsia"/>
        </w:rPr>
        <w:t>要分类、分项堆放，堆放的物品之间要留有安全距离；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 xml:space="preserve">2. </w:t>
      </w:r>
      <w:r>
        <w:rPr>
          <w:rFonts w:hint="eastAsia"/>
        </w:rPr>
        <w:t>对遇火、遇潮易燃、易爆或产生有毒气体的物品，不得在露天、潮湿、漏雨或低洼积水的地点存放；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受阳光照射易燃、易爆或产生有毒气体的危险化学品和桶装、罐装等易燃液体、气体应当在阴凉地点存放；</w:t>
      </w:r>
    </w:p>
    <w:p w:rsidR="002613CC" w:rsidRDefault="002613CC" w:rsidP="001D37F9">
      <w:pPr>
        <w:ind w:firstLine="420"/>
        <w:jc w:val="center"/>
      </w:pPr>
      <w:r>
        <w:rPr>
          <w:rFonts w:hint="eastAsia"/>
        </w:rPr>
        <w:t xml:space="preserve">4. </w:t>
      </w:r>
      <w:r>
        <w:rPr>
          <w:rFonts w:hint="eastAsia"/>
        </w:rPr>
        <w:t>化学性质或防护、防火方法相互抵触的危险化学品，不得在同一仓库或同一储存室内存放。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储存危险化学品的仓库、场地内，严禁吸烟和使用明火，电源可靠，灯泡要有防爆装置。</w:t>
      </w:r>
    </w:p>
    <w:p w:rsidR="002613CC" w:rsidRDefault="002613CC" w:rsidP="001D37F9">
      <w:pPr>
        <w:pStyle w:val="A10"/>
        <w:spacing w:before="93" w:after="93"/>
        <w:ind w:firstLine="562"/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使用和废弃处理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各部门对危险化学品的管理必须责任到人，专人保管。剩余的物品必须归还危险品仓库。领取时必须有两个以上的人员在场。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</w:rPr>
        <w:t>使用危险化学品时，必须有安全防护措施和用具，并按照安全操作规程进行。盛装危险化学品的容器，在使用前后必须进行检查，消除事故隐患，防止火灾、爆炸、中毒等事故发生。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第十三条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危险化学品的残渣、残液和废弃物，分类收集，送至指定存放点，定期集中给有资质公司按规定采取安全措施处理。</w:t>
      </w:r>
    </w:p>
    <w:p w:rsidR="002613CC" w:rsidRDefault="002613CC" w:rsidP="001D37F9">
      <w:pPr>
        <w:pStyle w:val="A10"/>
        <w:spacing w:before="93" w:after="93"/>
        <w:ind w:firstLine="562"/>
      </w:pPr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第十四条</w:t>
      </w:r>
      <w:r>
        <w:rPr>
          <w:rFonts w:hint="eastAsia"/>
        </w:rPr>
        <w:t xml:space="preserve"> </w:t>
      </w:r>
      <w:r>
        <w:rPr>
          <w:rFonts w:hint="eastAsia"/>
        </w:rPr>
        <w:t>采购、保管、使用、处理各种危险化学品的人员，必须加强业务知识学习，了解各种危险化学品的性质及保管、使用和处置方法，避免各类事故发生。</w:t>
      </w:r>
    </w:p>
    <w:p w:rsidR="002613CC" w:rsidRDefault="002613CC" w:rsidP="001D37F9">
      <w:pPr>
        <w:ind w:firstLine="422"/>
        <w:jc w:val="center"/>
      </w:pPr>
      <w:r>
        <w:rPr>
          <w:rFonts w:hint="eastAsia"/>
          <w:b/>
          <w:bCs/>
        </w:rPr>
        <w:t>第十五条</w:t>
      </w:r>
      <w:r>
        <w:rPr>
          <w:rFonts w:hint="eastAsia"/>
        </w:rPr>
        <w:t xml:space="preserve"> </w:t>
      </w:r>
      <w:r>
        <w:rPr>
          <w:rFonts w:hint="eastAsia"/>
        </w:rPr>
        <w:t>本规定自公布之日起实施。</w:t>
      </w:r>
    </w:p>
    <w:p w:rsidR="00CC5DAE" w:rsidRPr="002613CC" w:rsidRDefault="00CC5DAE" w:rsidP="001D37F9">
      <w:pPr>
        <w:ind w:firstLine="420"/>
        <w:jc w:val="center"/>
      </w:pPr>
    </w:p>
    <w:sectPr w:rsidR="00CC5DAE" w:rsidRPr="00261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A1" w:rsidRDefault="00763FA1" w:rsidP="002613CC">
      <w:pPr>
        <w:spacing w:line="240" w:lineRule="auto"/>
        <w:ind w:firstLine="420"/>
      </w:pPr>
      <w:r>
        <w:separator/>
      </w:r>
    </w:p>
  </w:endnote>
  <w:endnote w:type="continuationSeparator" w:id="0">
    <w:p w:rsidR="00763FA1" w:rsidRDefault="00763FA1" w:rsidP="002613C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F9" w:rsidRDefault="001D37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F9" w:rsidRDefault="001D37F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F9" w:rsidRDefault="001D37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A1" w:rsidRDefault="00763FA1" w:rsidP="002613CC">
      <w:pPr>
        <w:spacing w:line="240" w:lineRule="auto"/>
        <w:ind w:firstLine="420"/>
      </w:pPr>
      <w:r>
        <w:separator/>
      </w:r>
    </w:p>
  </w:footnote>
  <w:footnote w:type="continuationSeparator" w:id="0">
    <w:p w:rsidR="00763FA1" w:rsidRDefault="00763FA1" w:rsidP="002613C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F9" w:rsidRDefault="001D37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F9" w:rsidRDefault="001D37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F9" w:rsidRDefault="001D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A"/>
    <w:rsid w:val="001D37F9"/>
    <w:rsid w:val="002613CC"/>
    <w:rsid w:val="00291D4A"/>
    <w:rsid w:val="00763FA1"/>
    <w:rsid w:val="00CC5DAE"/>
    <w:rsid w:val="00F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21C7D-C548-4676-AAA2-72BB579D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613CC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2613CC"/>
    <w:pPr>
      <w:keepNext/>
      <w:keepLines/>
      <w:spacing w:before="340" w:after="330" w:line="336" w:lineRule="auto"/>
      <w:outlineLvl w:val="0"/>
    </w:pPr>
    <w:rPr>
      <w:b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CC"/>
    <w:pPr>
      <w:widowControl w:val="0"/>
      <w:tabs>
        <w:tab w:val="center" w:pos="4153"/>
        <w:tab w:val="right" w:pos="8306"/>
      </w:tabs>
      <w:snapToGrid w:val="0"/>
      <w:spacing w:line="240" w:lineRule="auto"/>
      <w:ind w:rightChars="0" w:right="0"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3CC"/>
    <w:rPr>
      <w:sz w:val="18"/>
      <w:szCs w:val="18"/>
    </w:rPr>
  </w:style>
  <w:style w:type="character" w:customStyle="1" w:styleId="1Char">
    <w:name w:val="标题 1 Char"/>
    <w:basedOn w:val="a0"/>
    <w:link w:val="1"/>
    <w:rsid w:val="002613CC"/>
    <w:rPr>
      <w:rFonts w:ascii="Times New Roman" w:eastAsia="宋体" w:hAnsi="Times New Roman" w:cs="Times New Roman"/>
      <w:b/>
      <w:kern w:val="36"/>
      <w:sz w:val="36"/>
      <w:szCs w:val="36"/>
    </w:rPr>
  </w:style>
  <w:style w:type="paragraph" w:styleId="a5">
    <w:name w:val="annotation text"/>
    <w:basedOn w:val="a"/>
    <w:link w:val="Char1"/>
    <w:autoRedefine/>
    <w:qFormat/>
    <w:rsid w:val="002613CC"/>
  </w:style>
  <w:style w:type="character" w:customStyle="1" w:styleId="Char1">
    <w:name w:val="批注文字 Char"/>
    <w:basedOn w:val="a0"/>
    <w:link w:val="a5"/>
    <w:qFormat/>
    <w:rsid w:val="002613CC"/>
    <w:rPr>
      <w:rFonts w:ascii="Times New Roman" w:eastAsia="宋体" w:hAnsi="Times New Roman" w:cs="Times New Roman"/>
      <w:szCs w:val="24"/>
    </w:rPr>
  </w:style>
  <w:style w:type="paragraph" w:customStyle="1" w:styleId="A10">
    <w:name w:val="A样式1"/>
    <w:basedOn w:val="a"/>
    <w:autoRedefine/>
    <w:qFormat/>
    <w:rsid w:val="002613CC"/>
    <w:pPr>
      <w:spacing w:beforeLines="30" w:afterLines="30"/>
      <w:jc w:val="center"/>
    </w:pPr>
    <w:rPr>
      <w:rFonts w:ascii="Calibri" w:eastAsia="仿宋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0</DocSecurity>
  <Lines>13</Lines>
  <Paragraphs>3</Paragraphs>
  <ScaleCrop>false</ScaleCrop>
  <Company>HP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3</cp:revision>
  <dcterms:created xsi:type="dcterms:W3CDTF">2024-09-18T08:22:00Z</dcterms:created>
  <dcterms:modified xsi:type="dcterms:W3CDTF">2024-09-18T08:31:00Z</dcterms:modified>
</cp:coreProperties>
</file>